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138" w:type="dxa"/>
        <w:jc w:val="left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14"/>
        <w:gridCol w:w="2123"/>
      </w:tblGrid>
      <w:tr>
        <w:trPr>
          <w:trHeight w:val="359" w:hRule="atLeast"/>
        </w:trPr>
        <w:tc>
          <w:tcPr>
            <w:tcW w:w="70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vAlign w:val="center"/>
          </w:tcPr>
          <w:p>
            <w:pPr>
              <w:pStyle w:val="Standard"/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>Facility Coördinator</w:t>
            </w:r>
          </w:p>
        </w:tc>
        <w:tc>
          <w:tcPr>
            <w:tcW w:w="2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center"/>
              <w:rPr/>
            </w:pPr>
            <w:r>
              <w:rPr/>
              <w:drawing>
                <wp:inline distT="0" distB="0" distL="0" distR="0">
                  <wp:extent cx="1047750" cy="556895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Standard"/>
        <w:rPr/>
      </w:pPr>
      <w:r>
        <w:rPr/>
      </w:r>
    </w:p>
    <w:tbl>
      <w:tblPr>
        <w:tblW w:w="9133" w:type="dxa"/>
        <w:jc w:val="left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69"/>
        <w:gridCol w:w="2797"/>
        <w:gridCol w:w="4566"/>
      </w:tblGrid>
      <w:tr>
        <w:trPr/>
        <w:tc>
          <w:tcPr>
            <w:tcW w:w="456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Standard"/>
              <w:rPr/>
            </w:pPr>
            <w:r>
              <w:rPr>
                <w:b/>
                <w:color w:val="FFFFFF"/>
              </w:rPr>
              <w:t>PLAATS IN DE ORGANISATIE</w:t>
            </w:r>
            <w:r>
              <w:rPr>
                <w:color w:val="FFFFFF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Standard"/>
              <w:jc w:val="right"/>
              <w:rPr>
                <w:rFonts w:cs="Calibri"/>
                <w:i/>
                <w:i/>
                <w:color w:val="FFFFFF"/>
              </w:rPr>
            </w:pPr>
            <w:r>
              <w:rPr>
                <w:rFonts w:cs="Calibri"/>
                <w:i/>
                <w:color w:val="FFFFFF"/>
              </w:rPr>
              <w:t>Waar situeert deze functie zich in de organisatie?</w:t>
            </w:r>
          </w:p>
        </w:tc>
      </w:tr>
      <w:tr>
        <w:trPr/>
        <w:tc>
          <w:tcPr>
            <w:tcW w:w="1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73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cs="Arial"/>
              </w:rPr>
            </w:pPr>
            <w:r>
              <w:rPr>
                <w:rFonts w:cs="Arial"/>
              </w:rPr>
              <w:t xml:space="preserve">Deelwerking/project: Dienst Infrastructuur </w:t>
            </w:r>
          </w:p>
        </w:tc>
      </w:tr>
      <w:tr>
        <w:trPr/>
        <w:tc>
          <w:tcPr>
            <w:tcW w:w="1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</w:p>
        </w:tc>
      </w:tr>
      <w:tr>
        <w:trPr/>
        <w:tc>
          <w:tcPr>
            <w:tcW w:w="1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73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/>
            </w:pPr>
            <w:r>
              <w:rPr/>
              <w:t>Dienstverantwoordelijke Infrastructuur</w:t>
            </w:r>
          </w:p>
        </w:tc>
      </w:tr>
    </w:tbl>
    <w:p>
      <w:pPr>
        <w:pStyle w:val="Standard"/>
        <w:rPr/>
      </w:pPr>
      <w:r>
        <w:rPr/>
      </w:r>
    </w:p>
    <w:tbl>
      <w:tblPr>
        <w:tblW w:w="9133" w:type="dxa"/>
        <w:jc w:val="left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70"/>
        <w:gridCol w:w="2258"/>
        <w:gridCol w:w="4704"/>
      </w:tblGrid>
      <w:tr>
        <w:trPr/>
        <w:tc>
          <w:tcPr>
            <w:tcW w:w="44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Standard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RESULTAATSGEBIEDEN</w:t>
              <w:tab/>
              <w:tab/>
            </w:r>
          </w:p>
        </w:tc>
        <w:tc>
          <w:tcPr>
            <w:tcW w:w="4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Standard"/>
              <w:jc w:val="right"/>
              <w:rPr>
                <w:rFonts w:cs="Calibri"/>
                <w:i/>
                <w:i/>
                <w:color w:val="FFFFFF"/>
              </w:rPr>
            </w:pPr>
            <w:r>
              <w:rPr>
                <w:rFonts w:cs="Calibri"/>
                <w:i/>
                <w:color w:val="FFFFFF"/>
              </w:rPr>
              <w:t>Wat wordt er van mij verwacht in deze functie?</w:t>
            </w:r>
          </w:p>
        </w:tc>
      </w:tr>
      <w:tr>
        <w:trPr/>
        <w:tc>
          <w:tcPr>
            <w:tcW w:w="21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Veiligheid</w:t>
            </w:r>
          </w:p>
        </w:tc>
        <w:tc>
          <w:tcPr>
            <w:tcW w:w="6962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both"/>
              <w:rPr>
                <w:i/>
                <w:i/>
              </w:rPr>
            </w:pPr>
            <w:r>
              <w:rPr>
                <w:i/>
              </w:rPr>
              <w:t>Instaan voor de opvolging en rapportage van het veiligheidsbeleid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Ondersteuning bij uitrol veiligheidsplan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Documenteren van veiligheidsmaatregelen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>
                <w:i/>
                <w:i/>
              </w:rPr>
            </w:pPr>
            <w:r>
              <w:rPr>
                <w:i/>
              </w:rPr>
              <w:t xml:space="preserve">Opmaken en bewaken van de veiligheidsprocedures </w:t>
            </w:r>
          </w:p>
        </w:tc>
      </w:tr>
      <w:tr>
        <w:trPr/>
        <w:tc>
          <w:tcPr>
            <w:tcW w:w="21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Infrastructuur-werken</w:t>
            </w:r>
          </w:p>
        </w:tc>
        <w:tc>
          <w:tcPr>
            <w:tcW w:w="6962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both"/>
              <w:rPr>
                <w:i/>
                <w:i/>
              </w:rPr>
            </w:pPr>
            <w:r>
              <w:rPr>
                <w:i/>
              </w:rPr>
              <w:t>Instaan voor de opvolging van allerhande infrastructuurwerken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Volgt de werken op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Bewaakt de kostenefficiëntie  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Beheert de technische dossiers</w:t>
            </w:r>
          </w:p>
        </w:tc>
      </w:tr>
      <w:tr>
        <w:trPr/>
        <w:tc>
          <w:tcPr>
            <w:tcW w:w="21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 xml:space="preserve">Logistieke bewegingen </w:t>
            </w:r>
          </w:p>
        </w:tc>
        <w:tc>
          <w:tcPr>
            <w:tcW w:w="6962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both"/>
              <w:rPr/>
            </w:pPr>
            <w:r>
              <w:rPr>
                <w:i/>
              </w:rPr>
              <w:t>Instaan voor de verhuisbewegingen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C</w:t>
            </w:r>
            <w:r>
              <w:rPr>
                <w:i w:val="false"/>
                <w:iCs w:val="false"/>
              </w:rPr>
              <w:t>oördineert van A tot Z de verhuisbewegingen van onze werkingen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C</w:t>
            </w:r>
            <w:r>
              <w:rPr>
                <w:i w:val="false"/>
                <w:iCs w:val="false"/>
              </w:rPr>
              <w:t>ommuniceert helder met alle stakeholders</w:t>
            </w:r>
          </w:p>
        </w:tc>
      </w:tr>
      <w:tr>
        <w:trPr/>
        <w:tc>
          <w:tcPr>
            <w:tcW w:w="2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FFFFFF" w:fill="FFFFFF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Medewerkers ondersteuner</w:t>
            </w:r>
          </w:p>
        </w:tc>
        <w:tc>
          <w:tcPr>
            <w:tcW w:w="69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FFFFFF" w:fill="FFFFFF" w:val="clear"/>
          </w:tcPr>
          <w:p>
            <w:pPr>
              <w:pStyle w:val="Standard"/>
              <w:jc w:val="both"/>
              <w:rPr>
                <w:i/>
                <w:i/>
              </w:rPr>
            </w:pPr>
            <w:r>
              <w:rPr>
                <w:i/>
              </w:rPr>
              <w:t>Verzorgen van een klantvriendelijke afhandeling van meldingen binnen het toegewezen domein: Infrastructuur.</w:t>
            </w:r>
          </w:p>
          <w:p>
            <w:pPr>
              <w:pStyle w:val="Standard"/>
              <w:numPr>
                <w:ilvl w:val="0"/>
                <w:numId w:val="2"/>
              </w:numPr>
              <w:jc w:val="both"/>
              <w:rPr/>
            </w:pPr>
            <w:r>
              <w:rPr/>
              <w:t>G</w:t>
            </w:r>
            <w:r>
              <w:rPr/>
              <w:t>eeft in begrijpbare taal advies en ondersteuning aan gebruikers</w:t>
            </w:r>
          </w:p>
          <w:p>
            <w:pPr>
              <w:pStyle w:val="Standard"/>
              <w:numPr>
                <w:ilvl w:val="0"/>
                <w:numId w:val="2"/>
              </w:numPr>
              <w:jc w:val="both"/>
              <w:rPr/>
            </w:pPr>
            <w:r>
              <w:rPr/>
              <w:t>I</w:t>
            </w:r>
            <w:r>
              <w:rPr/>
              <w:t>nformeert volgens de gemaakte afspraken over de stand van zaken</w:t>
            </w:r>
          </w:p>
          <w:p>
            <w:pPr>
              <w:pStyle w:val="Standard"/>
              <w:numPr>
                <w:ilvl w:val="0"/>
                <w:numId w:val="2"/>
              </w:numPr>
              <w:jc w:val="both"/>
              <w:rPr/>
            </w:pPr>
            <w:r>
              <w:rPr/>
              <w:t>B</w:t>
            </w:r>
            <w:r>
              <w:rPr/>
              <w:t>ewaakt de gestelde prioriteiten en de voortgang zodat de dagelijkse werking niet in het gedrang komt</w:t>
            </w:r>
          </w:p>
          <w:p>
            <w:pPr>
              <w:pStyle w:val="Standard"/>
              <w:numPr>
                <w:ilvl w:val="0"/>
                <w:numId w:val="2"/>
              </w:numPr>
              <w:jc w:val="both"/>
              <w:rPr/>
            </w:pPr>
            <w:r>
              <w:rPr/>
              <w:t>H</w:t>
            </w:r>
            <w:r>
              <w:rPr/>
              <w:t>oudt rekening met de normen en afspraken op vlak van kwaliteitszorg en veiligheid</w:t>
            </w:r>
          </w:p>
          <w:p>
            <w:pPr>
              <w:pStyle w:val="Standard"/>
              <w:numPr>
                <w:ilvl w:val="0"/>
                <w:numId w:val="2"/>
              </w:numPr>
              <w:jc w:val="both"/>
              <w:rPr/>
            </w:pPr>
            <w:r>
              <w:rPr/>
              <w:t xml:space="preserve">Zorgt voor correcte registratie, </w:t>
            </w:r>
            <w:r>
              <w:rPr/>
              <w:t>traceerbaar</w:t>
            </w:r>
            <w:r>
              <w:rPr/>
              <w:t>heid en data</w:t>
            </w:r>
          </w:p>
        </w:tc>
      </w:tr>
      <w:tr>
        <w:trPr/>
        <w:tc>
          <w:tcPr>
            <w:tcW w:w="2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FFFFFF" w:fill="FFFFFF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Duurzaamheid</w:t>
            </w:r>
          </w:p>
        </w:tc>
        <w:tc>
          <w:tcPr>
            <w:tcW w:w="69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FFFFFF" w:fill="FFFFFF" w:val="clear"/>
          </w:tcPr>
          <w:p>
            <w:pPr>
              <w:pStyle w:val="Standard"/>
              <w:jc w:val="both"/>
              <w:rPr>
                <w:i/>
                <w:i/>
              </w:rPr>
            </w:pPr>
            <w:r>
              <w:rPr>
                <w:i/>
              </w:rPr>
              <w:t>Instaan voor de opvolging en rapportage van het duurzaamheidsbeleid</w:t>
            </w:r>
          </w:p>
          <w:p>
            <w:pPr>
              <w:pStyle w:val="Standard"/>
              <w:numPr>
                <w:ilvl w:val="0"/>
                <w:numId w:val="3"/>
              </w:numPr>
              <w:jc w:val="both"/>
              <w:rPr/>
            </w:pPr>
            <w:r>
              <w:rPr/>
              <w:t xml:space="preserve">Ondersteuning bij uitwerking duurzaamheidsmaatregelen. </w:t>
            </w:r>
          </w:p>
          <w:p>
            <w:pPr>
              <w:pStyle w:val="Standard"/>
              <w:numPr>
                <w:ilvl w:val="0"/>
                <w:numId w:val="3"/>
              </w:numPr>
              <w:jc w:val="both"/>
              <w:rPr/>
            </w:pPr>
            <w:r>
              <w:rPr/>
              <w:t>Periodieke rapportage</w:t>
            </w:r>
          </w:p>
        </w:tc>
      </w:tr>
      <w:tr>
        <w:trPr/>
        <w:tc>
          <w:tcPr>
            <w:tcW w:w="2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Beleidsmatig werken</w:t>
            </w:r>
          </w:p>
        </w:tc>
        <w:tc>
          <w:tcPr>
            <w:tcW w:w="69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both"/>
              <w:rPr>
                <w:i/>
                <w:i/>
              </w:rPr>
            </w:pPr>
            <w:r>
              <w:rPr>
                <w:i/>
              </w:rPr>
              <w:t>Delen van expertise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 xml:space="preserve">Participeert aan het </w:t>
            </w:r>
            <w:r>
              <w:rPr>
                <w:i w:val="false"/>
                <w:iCs w:val="false"/>
                <w:color w:val="000000"/>
              </w:rPr>
              <w:t xml:space="preserve">opmaken van de middellange en lange termijn strategie op het vlak van </w:t>
            </w:r>
            <w:r>
              <w:rPr>
                <w:i w:val="false"/>
                <w:iCs w:val="false"/>
                <w:color w:val="000000"/>
              </w:rPr>
              <w:t>duurzaamheid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Werkt mee aan de jaarlijkse begroting en volgt deze mee op</w:t>
            </w:r>
          </w:p>
        </w:tc>
      </w:tr>
      <w:tr>
        <w:trPr/>
        <w:tc>
          <w:tcPr>
            <w:tcW w:w="2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69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both"/>
              <w:rPr>
                <w:i/>
                <w:i/>
              </w:rPr>
            </w:pPr>
            <w:r>
              <w:rPr>
                <w:i/>
              </w:rPr>
              <w:t>Samenwerken met externe actoren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Werkt samen met externe diensten  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Participeert indien gewenst aan overleg op lokaal niveau</w:t>
            </w:r>
          </w:p>
        </w:tc>
      </w:tr>
      <w:tr>
        <w:trPr/>
        <w:tc>
          <w:tcPr>
            <w:tcW w:w="2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69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2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69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Neemt actief deel aan het teamoverleg 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</w:tc>
      </w:tr>
      <w:tr>
        <w:trPr/>
        <w:tc>
          <w:tcPr>
            <w:tcW w:w="2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Werken bij CAW</w:t>
            </w:r>
          </w:p>
          <w:p>
            <w:pPr>
              <w:pStyle w:val="Standard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Handelt volgens de procedures uit het kwaliteitshandboek</w:t>
            </w:r>
          </w:p>
          <w:p>
            <w:pPr>
              <w:pStyle w:val="Standard"/>
              <w:numPr>
                <w:ilvl w:val="0"/>
                <w:numId w:val="1"/>
              </w:numPr>
              <w:jc w:val="both"/>
              <w:rPr/>
            </w:pPr>
            <w:r>
              <w:rPr/>
              <w:t>Denkt mee over vernieuwing en verbeterin</w:t>
            </w:r>
            <w:r>
              <w:rPr/>
              <w:t>g</w:t>
            </w:r>
          </w:p>
        </w:tc>
      </w:tr>
    </w:tbl>
    <w:p>
      <w:pPr>
        <w:pStyle w:val="Standard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Standard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Standard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Standard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Standard"/>
        <w:rPr/>
      </w:pPr>
      <w:r>
        <w:rPr/>
      </w:r>
    </w:p>
    <w:tbl>
      <w:tblPr>
        <w:tblW w:w="9133" w:type="dxa"/>
        <w:jc w:val="left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59"/>
        <w:gridCol w:w="1876"/>
        <w:gridCol w:w="5097"/>
      </w:tblGrid>
      <w:tr>
        <w:trPr/>
        <w:tc>
          <w:tcPr>
            <w:tcW w:w="403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Standard"/>
              <w:rPr/>
            </w:pPr>
            <w:r>
              <w:rPr>
                <w:b/>
                <w:color w:val="FFFFFF"/>
              </w:rPr>
              <w:t>KERNCOMPETENTIES</w:t>
            </w:r>
            <w:r>
              <w:rPr>
                <w:color w:val="FFFFFF"/>
              </w:rPr>
              <w:tab/>
              <w:tab/>
              <w:tab/>
            </w:r>
          </w:p>
        </w:tc>
        <w:tc>
          <w:tcPr>
            <w:tcW w:w="50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Standard"/>
              <w:jc w:val="right"/>
              <w:rPr>
                <w:rFonts w:cs="Calibri"/>
                <w:i/>
                <w:i/>
                <w:color w:val="FFFFFF"/>
              </w:rPr>
            </w:pPr>
            <w:r>
              <w:rPr>
                <w:rFonts w:cs="Calibri"/>
                <w:i/>
                <w:color w:val="FFFFFF"/>
              </w:rPr>
              <w:t>Wanneer pas ik bij het CAW?</w:t>
            </w:r>
          </w:p>
        </w:tc>
      </w:tr>
      <w:tr>
        <w:trPr/>
        <w:tc>
          <w:tcPr>
            <w:tcW w:w="2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organisatiebelang.</w:t>
            </w:r>
          </w:p>
        </w:tc>
      </w:tr>
      <w:tr>
        <w:trPr/>
        <w:tc>
          <w:tcPr>
            <w:tcW w:w="2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92" w:type="dxa"/>
              <w:right w:w="102" w:type="dxa"/>
            </w:tcMar>
          </w:tcPr>
          <w:p>
            <w:pPr>
              <w:pStyle w:val="Standard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Standard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xtbody"/>
              <w:rPr>
                <w:rFonts w:ascii="Calibri" w:hAnsi="Calibri" w:cs="Arial"/>
                <w:i/>
                <w:i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2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openstaan voor de omgeving.</w:t>
            </w:r>
          </w:p>
          <w:p>
            <w:pPr>
              <w:pStyle w:val="Standard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Standard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2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92" w:type="dxa"/>
              <w:right w:w="102" w:type="dxa"/>
            </w:tcMar>
          </w:tcPr>
          <w:p>
            <w:pPr>
              <w:pStyle w:val="Standard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xtbody"/>
              <w:rPr>
                <w:rFonts w:ascii="Calibri" w:hAnsi="Calibri" w:cs="Arial"/>
                <w:i/>
                <w:i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Bewust berekende risico’s durven nemen om een vooraf bepaald doel te bereiken.</w:t>
            </w:r>
          </w:p>
          <w:p>
            <w:pPr>
              <w:pStyle w:val="Standard"/>
              <w:rPr>
                <w:rFonts w:ascii="Calibri" w:hAnsi="Calibri" w:cs="Calibri"/>
                <w:i/>
                <w:i/>
              </w:rPr>
            </w:pPr>
            <w:r>
              <w:rPr>
                <w:rFonts w:cs="Calibri"/>
                <w:i/>
              </w:rPr>
            </w:r>
          </w:p>
        </w:tc>
      </w:tr>
    </w:tbl>
    <w:p>
      <w:pPr>
        <w:pStyle w:val="Standard"/>
        <w:jc w:val="right"/>
        <w:rPr/>
      </w:pPr>
      <w:r>
        <w:rPr/>
      </w:r>
    </w:p>
    <w:tbl>
      <w:tblPr>
        <w:tblW w:w="9138" w:type="dxa"/>
        <w:jc w:val="left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99"/>
        <w:gridCol w:w="2221"/>
        <w:gridCol w:w="4817"/>
      </w:tblGrid>
      <w:tr>
        <w:trPr/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Standard"/>
              <w:rPr/>
            </w:pPr>
            <w:r>
              <w:rPr>
                <w:b/>
                <w:color w:val="FFFFFF"/>
              </w:rPr>
              <w:t>FUNCTIESPECIFIEKE COMPETENTIES</w:t>
            </w:r>
            <w:r>
              <w:rPr>
                <w:color w:val="FFFFFF"/>
              </w:rPr>
              <w:tab/>
            </w:r>
          </w:p>
        </w:tc>
        <w:tc>
          <w:tcPr>
            <w:tcW w:w="48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Standard"/>
              <w:jc w:val="right"/>
              <w:rPr>
                <w:rFonts w:cs="Calibri"/>
                <w:i/>
                <w:i/>
                <w:color w:val="FFFFFF"/>
              </w:rPr>
            </w:pPr>
            <w:r>
              <w:rPr>
                <w:rFonts w:cs="Calibri"/>
                <w:i/>
                <w:color w:val="FFFFFF"/>
              </w:rPr>
              <w:t>Wanneer pas ik in deze functie ?</w:t>
            </w:r>
          </w:p>
        </w:tc>
      </w:tr>
      <w:tr>
        <w:trPr/>
        <w:tc>
          <w:tcPr>
            <w:tcW w:w="2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ascii="Calibri" w:hAnsi="Calibri"/>
                <w:b/>
              </w:rPr>
            </w:pPr>
            <w:r>
              <w:rPr>
                <w:b/>
              </w:rPr>
              <w:t>Flexibiliteit</w:t>
            </w:r>
          </w:p>
        </w:tc>
        <w:tc>
          <w:tcPr>
            <w:tcW w:w="70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>
        <w:trPr/>
        <w:tc>
          <w:tcPr>
            <w:tcW w:w="2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0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2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 xml:space="preserve">Zelfstandigheid </w:t>
            </w:r>
          </w:p>
        </w:tc>
        <w:tc>
          <w:tcPr>
            <w:tcW w:w="70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Het werk goed uitvoeren zonder ondersteuning, hulp of toezicht van anderen. Goed kunnen beoordelen wanneer hij zelf kan beslissen en wanneer niet.</w:t>
            </w:r>
          </w:p>
        </w:tc>
      </w:tr>
      <w:tr>
        <w:trPr/>
        <w:tc>
          <w:tcPr>
            <w:tcW w:w="2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Organisatie</w:t>
            </w:r>
          </w:p>
          <w:p>
            <w:pPr>
              <w:pStyle w:val="Standard"/>
              <w:rPr>
                <w:b/>
              </w:rPr>
            </w:pPr>
            <w:r>
              <w:rPr>
                <w:b/>
              </w:rPr>
              <w:t>sensitiviteit</w:t>
            </w:r>
          </w:p>
        </w:tc>
        <w:tc>
          <w:tcPr>
            <w:tcW w:w="70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Bewust zijn van de effecten van eigen keuzes, beslissingen en acties op de rest van de organisatie.</w:t>
            </w:r>
          </w:p>
        </w:tc>
      </w:tr>
      <w:tr>
        <w:trPr/>
        <w:tc>
          <w:tcPr>
            <w:tcW w:w="2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Leervermogen</w:t>
            </w:r>
          </w:p>
        </w:tc>
        <w:tc>
          <w:tcPr>
            <w:tcW w:w="70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Nieuwe informatie vlot en gemakkelijk opnemen en in de praktijk toepassen.</w:t>
            </w:r>
          </w:p>
          <w:p>
            <w:pPr>
              <w:pStyle w:val="Standard"/>
              <w:rPr>
                <w:bCs/>
                <w:i/>
                <w:i/>
              </w:rPr>
            </w:pPr>
            <w:r>
              <w:rPr>
                <w:bCs/>
                <w:i/>
              </w:rPr>
            </w:r>
          </w:p>
        </w:tc>
      </w:tr>
      <w:tr>
        <w:trPr/>
        <w:tc>
          <w:tcPr>
            <w:tcW w:w="2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FFFFFF" w:fill="FFFFFF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Communicatie</w:t>
            </w:r>
          </w:p>
        </w:tc>
        <w:tc>
          <w:tcPr>
            <w:tcW w:w="70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FFFFFF" w:fill="FFFFFF" w:val="clear"/>
          </w:tcPr>
          <w:p>
            <w:pPr>
              <w:pStyle w:val="Standard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Een mondelinge boodschap bondig en duidelijk overbrengen.</w:t>
            </w:r>
          </w:p>
        </w:tc>
      </w:tr>
    </w:tbl>
    <w:p>
      <w:pPr>
        <w:pStyle w:val="Standard"/>
        <w:rPr/>
      </w:pPr>
      <w:r>
        <w:rPr/>
      </w:r>
    </w:p>
    <w:tbl>
      <w:tblPr>
        <w:tblW w:w="9124" w:type="dxa"/>
        <w:jc w:val="left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68"/>
        <w:gridCol w:w="1547"/>
        <w:gridCol w:w="5808"/>
      </w:tblGrid>
      <w:tr>
        <w:trPr/>
        <w:tc>
          <w:tcPr>
            <w:tcW w:w="331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Standard"/>
              <w:rPr/>
            </w:pPr>
            <w:r>
              <w:rPr>
                <w:b/>
                <w:color w:val="FFFFFF"/>
              </w:rPr>
              <w:t>VAKTECHNISCHE COMPETENTIES</w:t>
            </w:r>
            <w:r>
              <w:rPr>
                <w:color w:val="FFFFFF"/>
              </w:rPr>
              <w:tab/>
            </w:r>
          </w:p>
        </w:tc>
        <w:tc>
          <w:tcPr>
            <w:tcW w:w="5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Standard"/>
              <w:jc w:val="right"/>
              <w:rPr>
                <w:rFonts w:cs="Calibri"/>
                <w:i/>
                <w:i/>
                <w:color w:val="FFFFFF"/>
              </w:rPr>
            </w:pPr>
            <w:r>
              <w:rPr>
                <w:rFonts w:cs="Calibri"/>
                <w:i/>
                <w:color w:val="FFFFFF"/>
              </w:rPr>
              <w:t>Wat ken en kan ik om deze functie goed uit te voeren?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  <w:t>Algemene technische kennis van alle bouwdisciplines</w:t>
            </w:r>
          </w:p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  <w:t>Kennis van brandveiligheidsregelgeving</w:t>
            </w:r>
          </w:p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  <w:t>Kennis van de wet op de overheidsopdrachten</w:t>
            </w:r>
          </w:p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  <w:t xml:space="preserve">Affiniteit met social profit 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Taal</w:t>
            </w:r>
          </w:p>
          <w:p>
            <w:pPr>
              <w:pStyle w:val="Standard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7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Computer</w:t>
            </w:r>
          </w:p>
          <w:p>
            <w:pPr>
              <w:pStyle w:val="Standard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7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  <w:t>Toepassing van technische tekenprogramma’s en specifieke software binnen het ondersteunend proces.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7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rPr>
                <w:i/>
                <w:i/>
              </w:rPr>
            </w:pPr>
            <w:r>
              <w:rPr>
                <w:i/>
              </w:rPr>
              <w:t xml:space="preserve">Bachelorniveau (idealiter bouwkunde / architectuur) </w:t>
            </w:r>
          </w:p>
        </w:tc>
      </w:tr>
    </w:tbl>
    <w:p>
      <w:pPr>
        <w:pStyle w:val="Standard"/>
        <w:rPr/>
      </w:pPr>
      <w:r>
        <w:rPr/>
      </w:r>
    </w:p>
    <w:tbl>
      <w:tblPr>
        <w:tblW w:w="9209" w:type="dxa"/>
        <w:jc w:val="left"/>
        <w:tblInd w:w="-1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7"/>
        <w:gridCol w:w="4531"/>
      </w:tblGrid>
      <w:tr>
        <w:trPr/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Standard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HANDTEKENING WERKGEVER</w:t>
            </w:r>
          </w:p>
        </w:tc>
        <w:tc>
          <w:tcPr>
            <w:tcW w:w="4531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Standard"/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HANDTEKENING WERKNEMER</w:t>
            </w:r>
          </w:p>
        </w:tc>
      </w:tr>
      <w:tr>
        <w:trPr/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both"/>
              <w:rPr/>
            </w:pPr>
            <w:r>
              <w:rPr/>
            </w:r>
          </w:p>
          <w:p>
            <w:pPr>
              <w:pStyle w:val="Standard"/>
              <w:jc w:val="both"/>
              <w:rPr/>
            </w:pPr>
            <w:r>
              <w:rPr/>
              <w:t>DATUM:</w:t>
            </w:r>
          </w:p>
          <w:p>
            <w:pPr>
              <w:pStyle w:val="Standard"/>
              <w:jc w:val="both"/>
              <w:rPr/>
            </w:pPr>
            <w:r>
              <w:rPr/>
              <w:t>VOOR AKKOORD:</w:t>
            </w:r>
          </w:p>
          <w:p>
            <w:pPr>
              <w:pStyle w:val="Standard"/>
              <w:jc w:val="both"/>
              <w:rPr/>
            </w:pPr>
            <w:r>
              <w:rPr/>
            </w:r>
          </w:p>
          <w:p>
            <w:pPr>
              <w:pStyle w:val="Standard"/>
              <w:jc w:val="both"/>
              <w:rPr/>
            </w:pPr>
            <w:r>
              <w:rPr/>
            </w:r>
          </w:p>
          <w:p>
            <w:pPr>
              <w:pStyle w:val="Standard"/>
              <w:jc w:val="both"/>
              <w:rPr/>
            </w:pPr>
            <w:r>
              <w:rPr/>
              <w:t>NAAM:</w:t>
            </w:r>
          </w:p>
          <w:p>
            <w:pPr>
              <w:pStyle w:val="Standard"/>
              <w:jc w:val="both"/>
              <w:rPr/>
            </w:pPr>
            <w:r>
              <w:rPr/>
            </w:r>
          </w:p>
        </w:tc>
        <w:tc>
          <w:tcPr>
            <w:tcW w:w="45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Standard"/>
              <w:jc w:val="both"/>
              <w:rPr/>
            </w:pPr>
            <w:r>
              <w:rPr/>
            </w:r>
          </w:p>
          <w:p>
            <w:pPr>
              <w:pStyle w:val="Standard"/>
              <w:jc w:val="both"/>
              <w:rPr/>
            </w:pPr>
            <w:r>
              <w:rPr/>
              <w:t>DATUM:</w:t>
            </w:r>
          </w:p>
          <w:p>
            <w:pPr>
              <w:pStyle w:val="Standard"/>
              <w:jc w:val="both"/>
              <w:rPr/>
            </w:pPr>
            <w:r>
              <w:rPr/>
              <w:t>VOOR AKKOORD:</w:t>
            </w:r>
          </w:p>
          <w:p>
            <w:pPr>
              <w:pStyle w:val="Standard"/>
              <w:jc w:val="both"/>
              <w:rPr/>
            </w:pPr>
            <w:r>
              <w:rPr/>
            </w:r>
          </w:p>
          <w:p>
            <w:pPr>
              <w:pStyle w:val="Standard"/>
              <w:jc w:val="both"/>
              <w:rPr/>
            </w:pPr>
            <w:r>
              <w:rPr/>
            </w:r>
          </w:p>
          <w:p>
            <w:pPr>
              <w:pStyle w:val="Standard"/>
              <w:jc w:val="both"/>
              <w:rPr/>
            </w:pPr>
            <w:r>
              <w:rPr/>
              <w:t>NAAM:</w:t>
            </w:r>
          </w:p>
        </w:tc>
      </w:tr>
    </w:tbl>
    <w:p>
      <w:pPr>
        <w:pStyle w:val="Standard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Calibri">
    <w:charset w:val="01"/>
    <w:family w:val="roman"/>
    <w:pitch w:val="variable"/>
  </w:font>
  <w:font w:name="Wingdings"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isLgl/>
      <w:numFmt w:val="bullet"/>
      <w:lvlText w:val=""/>
      <w:lvlJc w:val="left"/>
      <w:pPr>
        <w:tabs>
          <w:tab w:val="num" w:pos="0"/>
        </w:tabs>
        <w:ind w:left="340" w:hanging="340"/>
      </w:pPr>
      <w:rPr>
        <w:rFonts w:ascii="Wingdings" w:hAnsi="Wingdings" w:cs="Wingdings" w:hint="default"/>
      </w:rPr>
    </w:lvl>
    <w:lvl w:ilvl="1">
      <w:start w:val="0"/>
      <w:isLgl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0"/>
      <w:isLgl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isLgl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isLgl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isLgl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isLgl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isLgl/>
      <w:numFmt w:val="bullet"/>
      <w:lvlText w:val=""/>
      <w:lvlJc w:val="left"/>
      <w:pPr>
        <w:tabs>
          <w:tab w:val="num" w:pos="0"/>
        </w:tabs>
        <w:ind w:left="340" w:hanging="340"/>
      </w:pPr>
      <w:rPr>
        <w:rFonts w:ascii="Wingdings" w:hAnsi="Wingdings" w:cs="Wingdings" w:hint="default"/>
      </w:rPr>
    </w:lvl>
    <w:lvl w:ilvl="1">
      <w:start w:val="0"/>
      <w:isLgl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0"/>
      <w:isLgl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isLgl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isLgl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isLgl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isLgl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isLgl/>
      <w:numFmt w:val="bullet"/>
      <w:lvlText w:val=""/>
      <w:lvlJc w:val="left"/>
      <w:pPr>
        <w:tabs>
          <w:tab w:val="num" w:pos="0"/>
        </w:tabs>
        <w:ind w:left="340" w:hanging="340"/>
      </w:pPr>
      <w:rPr>
        <w:rFonts w:ascii="Wingdings" w:hAnsi="Wingdings" w:cs="Wingdings" w:hint="default"/>
      </w:rPr>
    </w:lvl>
    <w:lvl w:ilvl="1">
      <w:start w:val="0"/>
      <w:isLgl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0"/>
      <w:isLgl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isLgl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isLgl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isLgl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isLgl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isLgl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isLgl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lang w:val="nl-BE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FreeSans"/>
      <w:color w:val="auto"/>
      <w:kern w:val="0"/>
      <w:sz w:val="20"/>
      <w:szCs w:val="20"/>
      <w:lang w:val="nl-BE" w:eastAsia="zh-CN" w:bidi="hi-IN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Voetnoottekens">
    <w:name w:val="Voetnoottekens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Eindnoottekens">
    <w:name w:val="Eindnoottekens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DefaultParagraphFont" w:default="1" w:customStyle="1">
    <w:name w:val="Default Paragraph Font"/>
    <w:qFormat/>
    <w:rPr/>
  </w:style>
  <w:style w:type="character" w:styleId="textheading32" w:customStyle="1">
    <w:name w:val="textheading32"/>
    <w:basedOn w:val="DefaultParagraphFont"/>
    <w:qFormat/>
    <w:rPr/>
  </w:style>
  <w:style w:type="character" w:styleId="KoptekstChar" w:customStyle="1">
    <w:name w:val="Koptekst Char"/>
    <w:basedOn w:val="DefaultParagraphFont"/>
    <w:qFormat/>
    <w:rPr/>
  </w:style>
  <w:style w:type="character" w:styleId="VoettekstChar" w:customStyle="1">
    <w:name w:val="Voettekst Char"/>
    <w:basedOn w:val="DefaultParagraphFont"/>
    <w:qFormat/>
    <w:rPr/>
  </w:style>
  <w:style w:type="character" w:styleId="PlattetekstChar" w:customStyle="1">
    <w:name w:val="Platte tekst Char"/>
    <w:basedOn w:val="DefaultParagraphFont"/>
    <w:qFormat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Pr>
      <w:rFonts w:cs="Gill Sans MT"/>
      <w:color w:val="000000"/>
      <w:sz w:val="20"/>
      <w:szCs w:val="20"/>
    </w:rPr>
  </w:style>
  <w:style w:type="character" w:styleId="BallontekstChar" w:customStyle="1">
    <w:name w:val="Ballontekst Char"/>
    <w:basedOn w:val="DefaultParagraphFont"/>
    <w:qFormat/>
    <w:rPr>
      <w:rFonts w:ascii="Segoe UI" w:hAnsi="Segoe UI" w:cs="Segoe UI"/>
      <w:sz w:val="18"/>
      <w:szCs w:val="18"/>
    </w:rPr>
  </w:style>
  <w:style w:type="character" w:styleId="Opsommingstekens" w:customStyle="1">
    <w:name w:val="Opsommingstekens"/>
    <w:qFormat/>
    <w:rPr>
      <w:rFonts w:ascii="OpenSymbol" w:hAnsi="OpenSymbol" w:eastAsia="OpenSymbol" w:cs="OpenSymbol"/>
    </w:rPr>
  </w:style>
  <w:style w:type="paragraph" w:styleId="Kop" w:customStyle="1">
    <w:name w:val="Kop"/>
    <w:basedOn w:val="Standard"/>
    <w:next w:val="BodyText"/>
    <w:qFormat/>
    <w:pPr>
      <w:keepNext w:val="true"/>
      <w:spacing w:before="240" w:after="120"/>
    </w:pPr>
    <w:rPr>
      <w:rFonts w:ascii="Arial" w:hAnsi="Arial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 w:customStyle="1">
    <w:name w:val="List"/>
    <w:basedOn w:val="Textbody"/>
    <w:pPr/>
    <w:rPr>
      <w:rFonts w:ascii="Arial" w:hAnsi="Arial" w:cs="Lohit Devanagari"/>
    </w:rPr>
  </w:style>
  <w:style w:type="paragraph" w:styleId="Caption" w:customStyle="1">
    <w:name w:val="Caption"/>
    <w:basedOn w:val="Standard"/>
    <w:qFormat/>
    <w:pPr>
      <w:spacing w:before="120" w:after="120"/>
    </w:pPr>
    <w:rPr>
      <w:rFonts w:ascii="Arial" w:hAnsi="Arial" w:cs="Lohit Devanagari"/>
      <w:i/>
      <w:iCs/>
      <w:sz w:val="24"/>
      <w:szCs w:val="24"/>
    </w:rPr>
  </w:style>
  <w:style w:type="paragraph" w:styleId="Index" w:customStyle="1">
    <w:name w:val="Index"/>
    <w:basedOn w:val="Standard"/>
    <w:qFormat/>
    <w:pPr/>
    <w:rPr>
      <w:rFonts w:ascii="Arial" w:hAnsi="Arial" w:cs="Lohit Devanagari"/>
    </w:rPr>
  </w:style>
  <w:style w:type="paragraph" w:styleId="Title">
    <w:name w:val="Title"/>
    <w:basedOn w:val="Normal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Kop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FreeSans"/>
      <w:color w:val="auto"/>
      <w:kern w:val="0"/>
      <w:sz w:val="20"/>
      <w:szCs w:val="20"/>
      <w:lang w:val="nl-BE" w:eastAsia="zh-CN" w:bidi="hi-IN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DStyleparagraph">
    <w:name w:val="DStyle_paragraph"/>
    <w:qFormat/>
    <w:pPr>
      <w:widowControl/>
      <w:bidi w:val="0"/>
      <w:spacing w:before="0" w:after="0"/>
      <w:jc w:val="left"/>
    </w:pPr>
    <w:rPr>
      <w:rFonts w:ascii="Calibri" w:hAnsi="Calibri" w:eastAsia="Calibri" w:cs="DejaVu Sans"/>
      <w:color w:val="auto"/>
      <w:kern w:val="0"/>
      <w:sz w:val="20"/>
      <w:szCs w:val="20"/>
      <w:lang w:val="nl-BE" w:eastAsia="en-US" w:bidi="ar-SA"/>
    </w:rPr>
  </w:style>
  <w:style w:type="paragraph" w:styleId="Standard" w:customStyle="1">
    <w:name w:val="Standard"/>
    <w:basedOn w:val="DStyleparagraph"/>
    <w:qFormat/>
    <w:pPr>
      <w:widowControl/>
      <w:spacing w:before="0" w:after="0"/>
      <w:jc w:val="left"/>
    </w:pPr>
    <w:rPr/>
  </w:style>
  <w:style w:type="paragraph" w:styleId="Textbody" w:customStyle="1">
    <w:name w:val="Text body"/>
    <w:basedOn w:val="Standard"/>
    <w:qFormat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NoSpacing" w:customStyle="1">
    <w:name w:val="No Spacing"/>
    <w:basedOn w:val="DStyleparagraph"/>
    <w:qFormat/>
    <w:pPr>
      <w:widowControl/>
      <w:spacing w:before="0" w:after="0"/>
      <w:jc w:val="left"/>
    </w:pPr>
    <w:rPr/>
  </w:style>
  <w:style w:type="paragraph" w:styleId="ListParagraph" w:customStyle="1">
    <w:name w:val="List Paragraph"/>
    <w:basedOn w:val="Standard"/>
    <w:qFormat/>
    <w:pPr>
      <w:spacing w:lineRule="auto" w:line="259" w:before="0" w:after="160"/>
      <w:ind w:hanging="0" w:left="720" w:right="0"/>
    </w:pPr>
    <w:rPr>
      <w:rFonts w:ascii="Calibri" w:hAnsi="Calibri" w:cs="Calibri"/>
      <w:sz w:val="22"/>
      <w:szCs w:val="22"/>
    </w:rPr>
  </w:style>
  <w:style w:type="paragraph" w:styleId="Koptekstenvoettekst" w:customStyle="1">
    <w:name w:val="Koptekst en voettekst"/>
    <w:basedOn w:val="Standard"/>
    <w:qFormat/>
    <w:pPr/>
    <w:rPr/>
  </w:style>
  <w:style w:type="paragraph" w:styleId="Header" w:customStyle="1">
    <w:name w:val="Header"/>
    <w:basedOn w:val="Standard"/>
    <w:pPr>
      <w:tabs>
        <w:tab w:val="clear" w:pos="708"/>
        <w:tab w:val="center" w:pos="4535" w:leader="none"/>
        <w:tab w:val="right" w:pos="9071" w:leader="none"/>
      </w:tabs>
    </w:pPr>
    <w:rPr/>
  </w:style>
  <w:style w:type="paragraph" w:styleId="Footer" w:customStyle="1">
    <w:name w:val="Footer"/>
    <w:basedOn w:val="Standard"/>
    <w:pPr>
      <w:tabs>
        <w:tab w:val="clear" w:pos="708"/>
        <w:tab w:val="center" w:pos="4535" w:leader="none"/>
        <w:tab w:val="right" w:pos="9071" w:leader="none"/>
      </w:tabs>
    </w:pPr>
    <w:rPr/>
  </w:style>
  <w:style w:type="paragraph" w:styleId="BalloonText" w:customStyle="1">
    <w:name w:val="Balloon Text"/>
    <w:basedOn w:val="Standard"/>
    <w:qFormat/>
    <w:pPr/>
    <w:rPr>
      <w:rFonts w:ascii="Segoe UI" w:hAnsi="Segoe UI" w:cs="Segoe UI"/>
      <w:sz w:val="18"/>
      <w:szCs w:val="18"/>
    </w:rPr>
  </w:style>
  <w:style w:type="paragraph" w:styleId="Inhoudtabel" w:customStyle="1">
    <w:name w:val="Inhoud tabel"/>
    <w:basedOn w:val="Standard"/>
    <w:qFormat/>
    <w:pPr/>
    <w:rPr/>
  </w:style>
  <w:style w:type="paragraph" w:styleId="Tabelkop" w:customStyle="1">
    <w:name w:val="Tabelkop"/>
    <w:basedOn w:val="Inhoudtabel"/>
    <w:qFormat/>
    <w:pPr>
      <w:jc w:val="center"/>
    </w:pPr>
    <w:rPr>
      <w:b/>
      <w:bCs/>
    </w:rPr>
  </w:style>
  <w:style w:type="numbering" w:styleId="Geenlijst" w:default="1">
    <w:name w:val="Geen lij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LibreOffice/6.4.7.2$Linux_X86_64 LibreOffice_project/40$Build-2</Template>
  <TotalTime>3</TotalTime>
  <Application>LibreOffice/24.2.7.2$Linux_X86_64 LibreOffice_project/420$Build-2</Application>
  <AppVersion>15.0000</AppVersion>
  <Pages>3</Pages>
  <Words>655</Words>
  <Characters>4115</Characters>
  <CharactersWithSpaces>4657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2019-11-22T12:50:00Z</dcterms:created>
  <dc:creator/>
  <dc:description/>
  <dc:language>nl-BE</dc:language>
  <cp:lastModifiedBy/>
  <dcterms:modified xsi:type="dcterms:W3CDTF">2026-04-08T15:18:14Z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